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РОССИЙСКАЯ  ФЕДЕРАЦИЯ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БРЯНСКАЯ  ОБЛАСТЬ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КРАСНОГОРСКИЙ  РАЙОН</w:t>
      </w:r>
    </w:p>
    <w:p w:rsidR="00C06FC3" w:rsidRPr="002E581F" w:rsidRDefault="00625270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ЯЛОВСКАЯ</w:t>
      </w:r>
      <w:r w:rsidR="00C06FC3" w:rsidRPr="002E581F">
        <w:rPr>
          <w:rFonts w:ascii="Times New Roman" w:hAnsi="Times New Roman"/>
          <w:sz w:val="24"/>
          <w:szCs w:val="24"/>
        </w:rPr>
        <w:t xml:space="preserve"> СЕЛЬСКАЯ  АДМИНИСТРАЦИЯ</w:t>
      </w: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6FC3" w:rsidRPr="002E581F" w:rsidRDefault="00C06FC3" w:rsidP="002E58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>ПОСТАНОВЛЕНИЕ</w:t>
      </w: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</w:p>
    <w:p w:rsidR="00C06FC3" w:rsidRPr="002E581F" w:rsidRDefault="00CF112A" w:rsidP="002E58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2527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15.02</w:t>
      </w:r>
      <w:r w:rsidR="00C06FC3" w:rsidRPr="002E58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="00C06FC3" w:rsidRPr="002E581F">
        <w:rPr>
          <w:rFonts w:ascii="Times New Roman" w:hAnsi="Times New Roman"/>
          <w:sz w:val="24"/>
          <w:szCs w:val="24"/>
        </w:rPr>
        <w:t xml:space="preserve"> года  № </w:t>
      </w:r>
      <w:r w:rsidR="00FB32D3">
        <w:rPr>
          <w:rFonts w:ascii="Times New Roman" w:hAnsi="Times New Roman"/>
          <w:sz w:val="24"/>
          <w:szCs w:val="24"/>
        </w:rPr>
        <w:t>5</w:t>
      </w:r>
    </w:p>
    <w:p w:rsidR="00C06FC3" w:rsidRPr="002E581F" w:rsidRDefault="00C06FC3" w:rsidP="002E581F">
      <w:pPr>
        <w:spacing w:after="0"/>
        <w:rPr>
          <w:rFonts w:ascii="Times New Roman" w:hAnsi="Times New Roman"/>
          <w:sz w:val="24"/>
          <w:szCs w:val="24"/>
        </w:rPr>
      </w:pPr>
      <w:r w:rsidRPr="002E581F">
        <w:rPr>
          <w:rFonts w:ascii="Times New Roman" w:hAnsi="Times New Roman"/>
          <w:sz w:val="24"/>
          <w:szCs w:val="24"/>
        </w:rPr>
        <w:t xml:space="preserve">с. </w:t>
      </w:r>
      <w:r w:rsidR="00625270">
        <w:rPr>
          <w:rFonts w:ascii="Times New Roman" w:hAnsi="Times New Roman"/>
          <w:sz w:val="24"/>
          <w:szCs w:val="24"/>
        </w:rPr>
        <w:t>Яловка</w:t>
      </w:r>
    </w:p>
    <w:p w:rsidR="00C06FC3" w:rsidRPr="00A42373" w:rsidRDefault="00C06FC3" w:rsidP="002E581F">
      <w:pPr>
        <w:rPr>
          <w:szCs w:val="28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О Порядке формирования, ведения, перечня муниципального имущества муниципального образования «</w:t>
      </w:r>
      <w:r w:rsidR="00625270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Яловское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указанного имущества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       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№ 209-ФЗ от 24.07.2007г. «О развитии малого и среднего предпринимательства в Российской Федерации», Федеральным законом №156-ФЗ от 30.06.2015г. «О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Федерации», руководствуясь Уставом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сельского поселения: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Постановляю: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 Утвердить прилагаемые: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1.1. Порядок формирования, ведения, перечня муниципального имущества муниципального образования 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№1).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1.2. Утвердить 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 муниципального образования 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1.3.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2. Опубликовать настоящее постановление на официальном сайте администрации Красногорского района Брянской области (сельские поселения).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Настоящее постановление вступает в силу с момента опубликования.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4. Контроль за исполнением настоящего постановления оставляю за собой.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2E581F">
      <w:pPr>
        <w:tabs>
          <w:tab w:val="left" w:pos="6372"/>
        </w:tabs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Глава сельской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ab/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А.В. Белоус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Приложение№1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УТВЕРЖДЕН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Постановлением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155555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от «</w:t>
      </w:r>
      <w:r w:rsidR="00625270" w:rsidRPr="00155555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05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»</w:t>
      </w:r>
      <w:r w:rsidRPr="00155555">
        <w:rPr>
          <w:rFonts w:ascii="Times New Roman" w:hAnsi="Times New Roman"/>
          <w:color w:val="242424"/>
          <w:sz w:val="28"/>
          <w:szCs w:val="28"/>
          <w:u w:val="single"/>
          <w:lang w:eastAsia="ru-RU"/>
        </w:rPr>
        <w:t>сентября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2018г. № </w:t>
      </w:r>
      <w:r w:rsidR="00625270" w:rsidRPr="00155555">
        <w:rPr>
          <w:rFonts w:ascii="Times New Roman" w:hAnsi="Times New Roman"/>
          <w:color w:val="242424"/>
          <w:sz w:val="28"/>
          <w:szCs w:val="28"/>
          <w:lang w:eastAsia="ru-RU"/>
        </w:rPr>
        <w:t>18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Порядок формирования, ведения, перечня муниципального имущества муниципального образования «</w:t>
      </w:r>
      <w:r w:rsidR="00625270"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Яловское</w:t>
      </w: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1. Общие положения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1.1. Настоящий Порядок определяет процедуру формирования, ведения, перечня муниципального имущества муниципального образования «</w:t>
      </w:r>
      <w:r w:rsidR="00625270" w:rsidRPr="00155555">
        <w:rPr>
          <w:rFonts w:ascii="Times New Roman" w:hAnsi="Times New Roman"/>
          <w:color w:val="242424"/>
          <w:sz w:val="28"/>
          <w:szCs w:val="28"/>
          <w:lang w:eastAsia="ru-RU"/>
        </w:rPr>
        <w:t>Яловское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сельское поселение» Красногорского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имущество).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1.2. Включению в Перечень подлежит только муниципальное имущество муниципального образования «</w:t>
      </w:r>
      <w:r w:rsidR="00625270" w:rsidRPr="00155555">
        <w:rPr>
          <w:rFonts w:ascii="Times New Roman" w:hAnsi="Times New Roman"/>
          <w:color w:val="242424"/>
          <w:sz w:val="28"/>
          <w:szCs w:val="28"/>
          <w:lang w:eastAsia="ru-RU"/>
        </w:rPr>
        <w:t>Яловское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сельское поселение» Красногорского района Брянской области, не закрепленное на праве хозяйственного ведения или оперативного управления за муниципальными унитарными предприятиями или на праве оперативного управления за муниципальными учреждениями, а также свободное от иных прав третьих лиц (за исключением имущественных прав субъектов малого и среднего предпринимательства).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2. Порядок формирования Перечня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– изменения) вносятся </w:t>
      </w:r>
      <w:r w:rsidR="00625270" w:rsidRPr="00155555">
        <w:rPr>
          <w:rFonts w:ascii="Times New Roman" w:hAnsi="Times New Roman"/>
          <w:color w:val="242424"/>
          <w:sz w:val="28"/>
          <w:szCs w:val="28"/>
          <w:lang w:eastAsia="ru-RU"/>
        </w:rPr>
        <w:t>Яловской</w:t>
      </w: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сельской администрацией Красногорского района Брянской области.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lastRenderedPageBreak/>
        <w:t>3. Порядок ведения Перечня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3.1. Ведение Перечня включает в себя ведение информационной базы, содержащей сведения об: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1) имуществе, включенном в Перечень (наименование имущества, индивидуализирующие характеристики имущества, включенного в Перечень);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2) проведении торгов на право заключения договоров аренды;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3) результатах проведения торгов;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4) заключенных договорах аренды;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5)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которыми заключены договора аренды.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3.2. Ведение Перечня осуществляется на бумажном и электронном носителях. Информационная база подлежит размещению на официальном сайте администрации Красногорского района в сети Интернет.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3.3. Внесение сведений в информационную базу, в том числе информационную базу, размещенную в сети Интернет осуществляется в срок не позднее пяти рабочих дней с момента наступления события, послужившего основанием для внесения таких сведений.</w:t>
      </w:r>
    </w:p>
    <w:p w:rsidR="00C06FC3" w:rsidRPr="00155555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4. Порядок обязательного официального обнародования Перечня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155555">
        <w:rPr>
          <w:rFonts w:ascii="Times New Roman" w:hAnsi="Times New Roman"/>
          <w:color w:val="242424"/>
          <w:sz w:val="28"/>
          <w:szCs w:val="28"/>
          <w:lang w:eastAsia="ru-RU"/>
        </w:rPr>
        <w:t>Перечень, а также изменения в него подлежат обязательному обнародованию на официальном сайте администрации Красногорского района (сельские поселения) в сети Интернет, в срок не позднее пяти рабочих дней со дня утверждения Перечня или внесения в него изменений.</w:t>
      </w: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Pr="00155555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УТВЕРЖДЕНЫ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Постановлением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Красногорского района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625270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05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18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Порядок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 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муниципального образования </w:t>
      </w:r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b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b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b/>
          <w:bCs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1. Имущество, включенное в перечень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субъектов малого и среднего предпринимательства (далее соответственно - Перечень, имущество), предоставляется исключительно в аренду на долгосрочной основе, на срок не менее пяти лет.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2. Арендаторами имущества могут быть: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№209-ФЗ «О развитии малого и среднего предпринимательства в Российской Федерации» (далее - Федеральный закон);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 о проведении торгов на право заключения договора аренды принимает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Яловская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Брянской области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Торги проводятся в соответствии с порядком, установленным Федеральным законом «О защите конкуренции».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5. Арендаторами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включенного в Перечень, не могут быть субъекты предпринимательства, организации: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занимающиеся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участниками соглашений о разделе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осуществляющие предпринимательскую деятельность в сфере игорного бизнеса;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находящиеся в стадии реорганизации, ликвидации или банкротства в соответствии с законодательством Российской Федерации;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задолженность по налоговым платежам в бюджеты всех уровней и во внебюджетные фонды;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имеющие просроченную задолженность по заработной плате работников;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имеющие уровень заработной платы работников ниже величины прожиточного минимума на душу населения, установленной для трудоспособного населения в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Яловском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сельском поселении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Красногорском районе Брянской области;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имеющие решение арбитражного суда о признании участника торгов банкротом или об открытии конкурсного производства;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в отношении которых вынесено решение об административном наказании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торгах.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6.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7.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осуществлять проверки его использования не реже одного раза в год.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9.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закона, договор аренды подлежит расторжению.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10. По истечении срока действия договора аренды субъект предпринимательства, организация обязаны возвратить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Яловской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администрации Красногорского района муниципальное имущество по акту приема-передачи.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11. Предоставление субъектам предпринимательства льгот по арендной плате не может носить индивидуального характера.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12. К социально значимым, приоритетным видам деятельности относятся: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производство строительных материалов, изделий и конструкций, товаров широкого потребления, изделий пищевой и легкой промышленности;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производство, переработка и (или) хранение сельскохозяйственной продукции;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овощеводство, садоводство, виноградарство;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строительство, реконструкция и ремонт зданий и сооружений, монтаж инженерных сетей и оборудования;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розничная торговля, общественное питание, предоставление платных услуг.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13. Льготы по арендной плате предоставляются субъектам предпринимательства при выполнении ими следующих условий: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подача субъектом предпринимательства в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Яловскую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администрацию Красногорского района Брянской области заявления о предоставлении льготы по арендной плате в соответствии с пунктом 14 настоящего Положения;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предоставление муниципального имущества, включенного в Перечень, субъекту предпринимательства для осуществления им социально значимого вида деятельности;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осуществление субъектом предпринимательства социально значимого вида деятельности в период действия договора аренды.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14. Для получения льготы по арендной плате субъект предпринимательства, с которым заключен в установленном порядке договор аренды, обращается в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Яловскую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сельскую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администрацию Красногорского района Брянской области с письменным заявлением о предоставлении льготы по арендной плате, в котором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указывает осуществляемый субъектом предпринимательства социально значимый вид деятельности, установленный пунктом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15.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Яловская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дминистрация Красногорского района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об отказе в предоставлении льготы по арендной плате в случае, если субъект предпринимательства не осуществляет ни один из социально значимых видов деятельности, указанных в пункте 12 настоящего Положения.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О принятом решении 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Яловская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сельская 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администрация Красногорского района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16. В случае прекращения субъектом предпринимательства осуществления социально значимого вида деятельности льгота по арендной плате отменяется.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17. Муниципальное имущество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18.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19.Вопросы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C06FC3" w:rsidRPr="002E581F" w:rsidRDefault="00C06FC3" w:rsidP="00D12F57">
      <w:pPr>
        <w:spacing w:after="150" w:line="238" w:lineRule="atLeas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20.Использование муниципального имущества муниципального образования 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>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Яловское</w:t>
      </w:r>
      <w:r w:rsidRPr="00244E23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сельское поселение» Красногорского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район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а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Брянской области не по целевому назначению, переуступка прав или передача прав пользования в залог, а также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Приложение №3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к Постановлению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сельской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администрации</w:t>
      </w:r>
    </w:p>
    <w:p w:rsidR="00C06FC3" w:rsidRPr="002E581F" w:rsidRDefault="00C06FC3" w:rsidP="00D12F5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от «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05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»</w:t>
      </w:r>
      <w:r w:rsidRPr="002E581F">
        <w:rPr>
          <w:rFonts w:ascii="Times New Roman" w:hAnsi="Times New Roman"/>
          <w:color w:val="242424"/>
          <w:sz w:val="20"/>
          <w:szCs w:val="20"/>
          <w:u w:val="single"/>
          <w:lang w:eastAsia="ru-RU"/>
        </w:rPr>
        <w:t>сентября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>2018</w:t>
      </w: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г. № </w:t>
      </w:r>
      <w:r w:rsidR="00625270">
        <w:rPr>
          <w:rFonts w:ascii="Times New Roman" w:hAnsi="Times New Roman"/>
          <w:color w:val="242424"/>
          <w:sz w:val="20"/>
          <w:szCs w:val="20"/>
          <w:lang w:eastAsia="ru-RU"/>
        </w:rPr>
        <w:t>18</w:t>
      </w:r>
    </w:p>
    <w:p w:rsidR="00C06FC3" w:rsidRPr="002E581F" w:rsidRDefault="00C06FC3" w:rsidP="00D12F5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Перечень муниципального имущества,</w:t>
      </w:r>
    </w:p>
    <w:p w:rsidR="00C06FC3" w:rsidRPr="002E581F" w:rsidRDefault="00C06FC3" w:rsidP="00D12F57">
      <w:pPr>
        <w:spacing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2E581F">
        <w:rPr>
          <w:rFonts w:ascii="Times New Roman" w:hAnsi="Times New Roman"/>
          <w:color w:val="242424"/>
          <w:sz w:val="20"/>
          <w:szCs w:val="20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17"/>
        <w:gridCol w:w="1752"/>
        <w:gridCol w:w="921"/>
        <w:gridCol w:w="1398"/>
        <w:gridCol w:w="915"/>
        <w:gridCol w:w="1463"/>
        <w:gridCol w:w="1176"/>
        <w:gridCol w:w="1463"/>
      </w:tblGrid>
      <w:tr w:rsidR="00C06FC3" w:rsidRPr="002E581F" w:rsidTr="00D12F5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№ п/</w:t>
            </w: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Местонахождение, наименование, </w:t>
            </w: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 xml:space="preserve">Целевое назначение </w:t>
            </w: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использования объекта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lastRenderedPageBreak/>
              <w:t>Отметка о внесении в Перечень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Отметка об исключении из Перечня</w:t>
            </w:r>
          </w:p>
        </w:tc>
      </w:tr>
      <w:tr w:rsidR="00C06FC3" w:rsidRPr="002E581F" w:rsidTr="00D12F5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внесения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Дата исключения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Основание</w:t>
            </w:r>
          </w:p>
          <w:p w:rsidR="00C06FC3" w:rsidRPr="002E581F" w:rsidRDefault="00C06FC3" w:rsidP="00D12F57">
            <w:pPr>
              <w:spacing w:after="150" w:line="238" w:lineRule="atLeast"/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</w:pPr>
            <w:r w:rsidRPr="002E581F">
              <w:rPr>
                <w:rFonts w:ascii="Times New Roman" w:hAnsi="Times New Roman"/>
                <w:color w:val="242424"/>
                <w:sz w:val="20"/>
                <w:szCs w:val="20"/>
                <w:lang w:eastAsia="ru-RU"/>
              </w:rPr>
              <w:t>(наименование, дата и номер док-та)</w:t>
            </w: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  <w:tr w:rsidR="00C06FC3" w:rsidRPr="002E581F" w:rsidTr="00D12F5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C06FC3" w:rsidRPr="002E581F" w:rsidRDefault="00C06FC3" w:rsidP="00D12F57">
            <w:pPr>
              <w:spacing w:after="0" w:line="240" w:lineRule="auto"/>
              <w:rPr>
                <w:rFonts w:ascii="Times New Roman" w:hAnsi="Times New Roman"/>
                <w:color w:val="151515"/>
                <w:sz w:val="20"/>
                <w:szCs w:val="20"/>
                <w:lang w:eastAsia="ru-RU"/>
              </w:rPr>
            </w:pPr>
          </w:p>
        </w:tc>
      </w:tr>
    </w:tbl>
    <w:p w:rsidR="00C06FC3" w:rsidRPr="002E581F" w:rsidRDefault="00C06FC3">
      <w:pPr>
        <w:rPr>
          <w:rFonts w:ascii="Times New Roman" w:hAnsi="Times New Roman"/>
        </w:rPr>
      </w:pPr>
    </w:p>
    <w:sectPr w:rsidR="00C06FC3" w:rsidRPr="002E581F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CEF"/>
    <w:multiLevelType w:val="multilevel"/>
    <w:tmpl w:val="9CE2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F57"/>
    <w:rsid w:val="0006162D"/>
    <w:rsid w:val="00065DC6"/>
    <w:rsid w:val="0007231E"/>
    <w:rsid w:val="000B3A49"/>
    <w:rsid w:val="000D5060"/>
    <w:rsid w:val="000E609B"/>
    <w:rsid w:val="00107583"/>
    <w:rsid w:val="00110454"/>
    <w:rsid w:val="001439D0"/>
    <w:rsid w:val="00155555"/>
    <w:rsid w:val="00164568"/>
    <w:rsid w:val="00195DB7"/>
    <w:rsid w:val="00244E23"/>
    <w:rsid w:val="00273281"/>
    <w:rsid w:val="002A26F1"/>
    <w:rsid w:val="002C4CAD"/>
    <w:rsid w:val="002E581F"/>
    <w:rsid w:val="00310602"/>
    <w:rsid w:val="00336F12"/>
    <w:rsid w:val="0038474A"/>
    <w:rsid w:val="003B4A61"/>
    <w:rsid w:val="004B1D03"/>
    <w:rsid w:val="004F3CFC"/>
    <w:rsid w:val="00560844"/>
    <w:rsid w:val="005A300C"/>
    <w:rsid w:val="005D5320"/>
    <w:rsid w:val="00625270"/>
    <w:rsid w:val="006D2227"/>
    <w:rsid w:val="006F1ADE"/>
    <w:rsid w:val="007C4A85"/>
    <w:rsid w:val="00831B77"/>
    <w:rsid w:val="008A3511"/>
    <w:rsid w:val="008F082D"/>
    <w:rsid w:val="009245BA"/>
    <w:rsid w:val="0093083B"/>
    <w:rsid w:val="00942707"/>
    <w:rsid w:val="00961948"/>
    <w:rsid w:val="00A25A62"/>
    <w:rsid w:val="00A42373"/>
    <w:rsid w:val="00A8123C"/>
    <w:rsid w:val="00B24C01"/>
    <w:rsid w:val="00B720F4"/>
    <w:rsid w:val="00B917F0"/>
    <w:rsid w:val="00BA1E8D"/>
    <w:rsid w:val="00C06FC3"/>
    <w:rsid w:val="00C10100"/>
    <w:rsid w:val="00CF112A"/>
    <w:rsid w:val="00D0189E"/>
    <w:rsid w:val="00D12F57"/>
    <w:rsid w:val="00E10E10"/>
    <w:rsid w:val="00E329E7"/>
    <w:rsid w:val="00E9241F"/>
    <w:rsid w:val="00EB5A40"/>
    <w:rsid w:val="00F31B2A"/>
    <w:rsid w:val="00F80573"/>
    <w:rsid w:val="00FB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1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F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474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1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9</cp:revision>
  <dcterms:created xsi:type="dcterms:W3CDTF">2019-02-04T06:29:00Z</dcterms:created>
  <dcterms:modified xsi:type="dcterms:W3CDTF">2019-04-05T09:00:00Z</dcterms:modified>
</cp:coreProperties>
</file>