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753719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ПЕРЕЛАЗ</w:t>
      </w:r>
      <w:r w:rsidR="0029717A">
        <w:rPr>
          <w:b/>
          <w:sz w:val="24"/>
          <w:szCs w:val="24"/>
        </w:rPr>
        <w:t xml:space="preserve">СКАЯ СЕЛЬСКАЯ АДМИНИСТРАЦИЯ </w:t>
      </w:r>
      <w:r w:rsidR="00DD60D5"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C90A22">
        <w:rPr>
          <w:sz w:val="24"/>
          <w:szCs w:val="24"/>
        </w:rPr>
        <w:t>09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</w:t>
      </w:r>
      <w:r w:rsidR="00C90A22">
        <w:rPr>
          <w:sz w:val="24"/>
          <w:szCs w:val="24"/>
        </w:rPr>
        <w:t>29</w:t>
      </w:r>
      <w:r w:rsidRPr="00FE31F0">
        <w:rPr>
          <w:sz w:val="24"/>
          <w:szCs w:val="24"/>
        </w:rPr>
        <w:t xml:space="preserve"> </w:t>
      </w:r>
    </w:p>
    <w:p w:rsidR="00DD60D5" w:rsidRPr="00FE31F0" w:rsidRDefault="000A710D" w:rsidP="00787697">
      <w:pPr>
        <w:rPr>
          <w:color w:val="000000"/>
          <w:sz w:val="26"/>
        </w:rPr>
      </w:pPr>
      <w:r>
        <w:rPr>
          <w:sz w:val="24"/>
          <w:szCs w:val="24"/>
        </w:rPr>
        <w:t>д</w:t>
      </w:r>
      <w:r w:rsidR="00DD60D5" w:rsidRPr="00FE31F0">
        <w:rPr>
          <w:sz w:val="24"/>
          <w:szCs w:val="24"/>
        </w:rPr>
        <w:t xml:space="preserve">. </w:t>
      </w:r>
      <w:r w:rsidR="00753719">
        <w:rPr>
          <w:sz w:val="24"/>
          <w:szCs w:val="24"/>
        </w:rPr>
        <w:t>Перелазы</w:t>
      </w:r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proofErr w:type="spellStart"/>
      <w:r w:rsidR="00753719">
        <w:rPr>
          <w:sz w:val="24"/>
          <w:szCs w:val="24"/>
        </w:rPr>
        <w:t>Перелаз</w:t>
      </w:r>
      <w:r w:rsidR="0029717A">
        <w:rPr>
          <w:sz w:val="24"/>
          <w:szCs w:val="24"/>
        </w:rPr>
        <w:t>ского</w:t>
      </w:r>
      <w:proofErr w:type="spellEnd"/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753719">
        <w:rPr>
          <w:sz w:val="24"/>
          <w:szCs w:val="24"/>
        </w:rPr>
        <w:t>Перелаз</w:t>
      </w:r>
      <w:r w:rsidR="0029717A">
        <w:rPr>
          <w:sz w:val="24"/>
          <w:szCs w:val="24"/>
        </w:rPr>
        <w:t>ская</w:t>
      </w:r>
      <w:proofErr w:type="spellEnd"/>
      <w:r w:rsidR="0029717A">
        <w:rPr>
          <w:sz w:val="24"/>
          <w:szCs w:val="24"/>
        </w:rPr>
        <w:t xml:space="preserve">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372447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2447">
        <w:rPr>
          <w:sz w:val="24"/>
          <w:szCs w:val="24"/>
        </w:rPr>
        <w:t>Утвердить</w:t>
      </w:r>
      <w:r w:rsidR="00222A86" w:rsidRPr="00372447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372447">
          <w:rPr>
            <w:sz w:val="24"/>
            <w:szCs w:val="24"/>
          </w:rPr>
          <w:t>П</w:t>
        </w:r>
        <w:proofErr w:type="gramEnd"/>
      </w:hyperlink>
      <w:r w:rsidRPr="00372447">
        <w:rPr>
          <w:sz w:val="24"/>
          <w:szCs w:val="24"/>
        </w:rPr>
        <w:t>орядок формирования перечня налоговых расходов</w:t>
      </w:r>
      <w:r w:rsidR="00992BDC" w:rsidRPr="00372447">
        <w:rPr>
          <w:sz w:val="24"/>
          <w:szCs w:val="24"/>
        </w:rPr>
        <w:t xml:space="preserve"> и оценки налоговых расходов</w:t>
      </w:r>
      <w:r w:rsidRPr="00372447">
        <w:rPr>
          <w:sz w:val="24"/>
          <w:szCs w:val="24"/>
        </w:rPr>
        <w:t xml:space="preserve"> </w:t>
      </w:r>
      <w:proofErr w:type="spellStart"/>
      <w:r w:rsidR="00753719" w:rsidRPr="00372447">
        <w:rPr>
          <w:sz w:val="24"/>
          <w:szCs w:val="24"/>
        </w:rPr>
        <w:t>Перелаз</w:t>
      </w:r>
      <w:r w:rsidR="0029717A" w:rsidRPr="00372447">
        <w:rPr>
          <w:sz w:val="24"/>
          <w:szCs w:val="24"/>
        </w:rPr>
        <w:t>ского</w:t>
      </w:r>
      <w:proofErr w:type="spellEnd"/>
      <w:r w:rsidR="0029717A" w:rsidRPr="00372447">
        <w:rPr>
          <w:sz w:val="24"/>
          <w:szCs w:val="24"/>
        </w:rPr>
        <w:t xml:space="preserve"> сельского</w:t>
      </w:r>
      <w:r w:rsidR="00106272" w:rsidRPr="00372447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372447">
        <w:rPr>
          <w:sz w:val="24"/>
          <w:szCs w:val="24"/>
        </w:rPr>
        <w:t>.</w:t>
      </w:r>
    </w:p>
    <w:p w:rsidR="00F20925" w:rsidRPr="00372447" w:rsidRDefault="00F20925" w:rsidP="00372447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2447">
        <w:rPr>
          <w:sz w:val="24"/>
          <w:szCs w:val="24"/>
        </w:rPr>
        <w:t xml:space="preserve"> </w:t>
      </w:r>
      <w:r w:rsidR="00222A86" w:rsidRPr="00372447">
        <w:rPr>
          <w:sz w:val="24"/>
          <w:szCs w:val="24"/>
        </w:rPr>
        <w:t>Признать утратившим силу Постановления</w:t>
      </w:r>
      <w:r w:rsidR="0029717A" w:rsidRPr="00372447">
        <w:rPr>
          <w:sz w:val="24"/>
          <w:szCs w:val="24"/>
        </w:rPr>
        <w:t xml:space="preserve"> </w:t>
      </w:r>
      <w:proofErr w:type="spellStart"/>
      <w:r w:rsidR="00753719" w:rsidRPr="00372447">
        <w:rPr>
          <w:sz w:val="24"/>
          <w:szCs w:val="24"/>
        </w:rPr>
        <w:t>Перелаз</w:t>
      </w:r>
      <w:r w:rsidR="0029717A" w:rsidRPr="00372447">
        <w:rPr>
          <w:sz w:val="24"/>
          <w:szCs w:val="24"/>
        </w:rPr>
        <w:t>ской</w:t>
      </w:r>
      <w:proofErr w:type="spellEnd"/>
      <w:r w:rsidR="0029717A" w:rsidRPr="00372447">
        <w:rPr>
          <w:sz w:val="24"/>
          <w:szCs w:val="24"/>
        </w:rPr>
        <w:t xml:space="preserve"> сельской</w:t>
      </w:r>
      <w:r w:rsidR="00222A86" w:rsidRPr="00372447">
        <w:rPr>
          <w:sz w:val="24"/>
          <w:szCs w:val="24"/>
        </w:rPr>
        <w:t xml:space="preserve"> администрации Красног</w:t>
      </w:r>
      <w:r w:rsidR="00372447" w:rsidRPr="00372447">
        <w:rPr>
          <w:sz w:val="24"/>
          <w:szCs w:val="24"/>
        </w:rPr>
        <w:t>орского района Брянской области</w:t>
      </w:r>
      <w:r w:rsidRPr="00372447">
        <w:rPr>
          <w:sz w:val="24"/>
          <w:szCs w:val="24"/>
        </w:rPr>
        <w:t xml:space="preserve"> от </w:t>
      </w:r>
      <w:r w:rsidR="00531ED7" w:rsidRPr="00372447">
        <w:rPr>
          <w:sz w:val="24"/>
          <w:szCs w:val="24"/>
        </w:rPr>
        <w:t>2</w:t>
      </w:r>
      <w:r w:rsidR="00753719" w:rsidRPr="00372447">
        <w:rPr>
          <w:sz w:val="24"/>
          <w:szCs w:val="24"/>
        </w:rPr>
        <w:t>9</w:t>
      </w:r>
      <w:r w:rsidRPr="00372447">
        <w:rPr>
          <w:sz w:val="24"/>
          <w:szCs w:val="24"/>
        </w:rPr>
        <w:t xml:space="preserve"> ноября 2019 года №</w:t>
      </w:r>
      <w:r w:rsidR="00753719" w:rsidRPr="00372447">
        <w:rPr>
          <w:sz w:val="24"/>
          <w:szCs w:val="24"/>
        </w:rPr>
        <w:t>77</w:t>
      </w:r>
      <w:r w:rsidRPr="00372447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372447">
        <w:rPr>
          <w:sz w:val="24"/>
          <w:szCs w:val="24"/>
        </w:rPr>
        <w:t>муниципального образования</w:t>
      </w:r>
      <w:r w:rsidRPr="00372447">
        <w:rPr>
          <w:sz w:val="24"/>
          <w:szCs w:val="24"/>
        </w:rPr>
        <w:t xml:space="preserve"> </w:t>
      </w:r>
      <w:r w:rsidR="00106272" w:rsidRPr="00372447">
        <w:rPr>
          <w:sz w:val="24"/>
          <w:szCs w:val="24"/>
        </w:rPr>
        <w:t>«</w:t>
      </w:r>
      <w:proofErr w:type="spellStart"/>
      <w:r w:rsidR="00753719" w:rsidRPr="00372447">
        <w:rPr>
          <w:sz w:val="24"/>
          <w:szCs w:val="24"/>
        </w:rPr>
        <w:t>Перелаз</w:t>
      </w:r>
      <w:r w:rsidR="0029717A" w:rsidRPr="00372447">
        <w:rPr>
          <w:sz w:val="24"/>
          <w:szCs w:val="24"/>
        </w:rPr>
        <w:t>ское</w:t>
      </w:r>
      <w:proofErr w:type="spellEnd"/>
      <w:r w:rsidR="0029717A" w:rsidRPr="00372447">
        <w:rPr>
          <w:sz w:val="24"/>
          <w:szCs w:val="24"/>
        </w:rPr>
        <w:t xml:space="preserve"> сельское</w:t>
      </w:r>
      <w:r w:rsidR="00106272" w:rsidRPr="00372447">
        <w:rPr>
          <w:sz w:val="24"/>
          <w:szCs w:val="24"/>
        </w:rPr>
        <w:t xml:space="preserve"> поселение»</w:t>
      </w:r>
      <w:r w:rsidRPr="00372447">
        <w:rPr>
          <w:sz w:val="24"/>
          <w:szCs w:val="24"/>
        </w:rPr>
        <w:t>.</w:t>
      </w:r>
    </w:p>
    <w:p w:rsidR="00F20925" w:rsidRPr="00372447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72447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372447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2447">
        <w:rPr>
          <w:sz w:val="24"/>
          <w:szCs w:val="24"/>
        </w:rPr>
        <w:t>4</w:t>
      </w:r>
      <w:r w:rsidR="00810B90" w:rsidRPr="00372447">
        <w:rPr>
          <w:sz w:val="24"/>
          <w:szCs w:val="24"/>
        </w:rPr>
        <w:t xml:space="preserve">. </w:t>
      </w:r>
      <w:r w:rsidRPr="00372447">
        <w:rPr>
          <w:sz w:val="24"/>
          <w:szCs w:val="24"/>
        </w:rPr>
        <w:t xml:space="preserve">   </w:t>
      </w:r>
      <w:r w:rsidR="00992BDC" w:rsidRPr="00372447">
        <w:rPr>
          <w:sz w:val="24"/>
          <w:szCs w:val="24"/>
        </w:rPr>
        <w:t>П</w:t>
      </w:r>
      <w:r w:rsidR="00810B90" w:rsidRPr="00372447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372447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372447">
        <w:rPr>
          <w:color w:val="000000"/>
          <w:sz w:val="24"/>
          <w:szCs w:val="24"/>
        </w:rPr>
        <w:t>5</w:t>
      </w:r>
      <w:r w:rsidR="00992BDC" w:rsidRPr="00372447">
        <w:rPr>
          <w:color w:val="000000"/>
          <w:sz w:val="24"/>
          <w:szCs w:val="24"/>
        </w:rPr>
        <w:t xml:space="preserve">. </w:t>
      </w:r>
      <w:r w:rsidR="00531ED7" w:rsidRPr="00372447">
        <w:rPr>
          <w:color w:val="000000"/>
          <w:sz w:val="24"/>
          <w:szCs w:val="24"/>
        </w:rPr>
        <w:t xml:space="preserve">   </w:t>
      </w:r>
      <w:proofErr w:type="gramStart"/>
      <w:r w:rsidR="00992BDC" w:rsidRPr="00372447">
        <w:rPr>
          <w:color w:val="000000"/>
          <w:sz w:val="24"/>
          <w:szCs w:val="24"/>
        </w:rPr>
        <w:t>Контроль за</w:t>
      </w:r>
      <w:proofErr w:type="gramEnd"/>
      <w:r w:rsidR="00992BDC" w:rsidRPr="00372447">
        <w:rPr>
          <w:color w:val="000000"/>
          <w:sz w:val="24"/>
          <w:szCs w:val="24"/>
        </w:rPr>
        <w:t xml:space="preserve"> исполнением постановления </w:t>
      </w:r>
      <w:r w:rsidR="00531ED7" w:rsidRPr="0037244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372447">
        <w:rPr>
          <w:sz w:val="24"/>
          <w:szCs w:val="24"/>
        </w:rPr>
        <w:t>Глава администрации</w:t>
      </w:r>
      <w:r w:rsidR="00517802" w:rsidRPr="00FE31F0">
        <w:rPr>
          <w:sz w:val="24"/>
          <w:szCs w:val="24"/>
        </w:rPr>
        <w:t xml:space="preserve">                           </w:t>
      </w:r>
      <w:r w:rsidR="001E0D04">
        <w:rPr>
          <w:sz w:val="24"/>
          <w:szCs w:val="24"/>
        </w:rPr>
        <w:t xml:space="preserve">                            </w:t>
      </w:r>
      <w:r w:rsidR="00517802" w:rsidRPr="00FE31F0">
        <w:rPr>
          <w:sz w:val="24"/>
          <w:szCs w:val="24"/>
        </w:rPr>
        <w:t xml:space="preserve">                                             </w:t>
      </w:r>
      <w:r w:rsidR="00F179B1">
        <w:rPr>
          <w:sz w:val="24"/>
          <w:szCs w:val="24"/>
        </w:rPr>
        <w:t>С</w:t>
      </w:r>
      <w:r w:rsidR="000A710D">
        <w:rPr>
          <w:sz w:val="24"/>
          <w:szCs w:val="24"/>
        </w:rPr>
        <w:t>.</w:t>
      </w:r>
      <w:r w:rsidR="00753719">
        <w:rPr>
          <w:sz w:val="24"/>
          <w:szCs w:val="24"/>
        </w:rPr>
        <w:t>Е</w:t>
      </w:r>
      <w:r w:rsidR="000A710D">
        <w:rPr>
          <w:sz w:val="24"/>
          <w:szCs w:val="24"/>
        </w:rPr>
        <w:t xml:space="preserve">. </w:t>
      </w:r>
      <w:r w:rsidR="00753719">
        <w:rPr>
          <w:sz w:val="24"/>
          <w:szCs w:val="24"/>
        </w:rPr>
        <w:t>Горбачева</w:t>
      </w:r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753719">
        <w:rPr>
          <w:sz w:val="24"/>
          <w:szCs w:val="24"/>
        </w:rPr>
        <w:t>Перелаз</w:t>
      </w:r>
      <w:r w:rsidR="00486BCD">
        <w:rPr>
          <w:sz w:val="24"/>
          <w:szCs w:val="24"/>
        </w:rPr>
        <w:t>ской</w:t>
      </w:r>
      <w:proofErr w:type="spellEnd"/>
      <w:r w:rsidR="00486BCD">
        <w:rPr>
          <w:sz w:val="24"/>
          <w:szCs w:val="24"/>
        </w:rPr>
        <w:t xml:space="preserve"> </w:t>
      </w:r>
      <w:proofErr w:type="gramStart"/>
      <w:r w:rsidR="00486BCD">
        <w:rPr>
          <w:sz w:val="24"/>
          <w:szCs w:val="24"/>
        </w:rPr>
        <w:t>сельской</w:t>
      </w:r>
      <w:proofErr w:type="gram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</w:t>
      </w:r>
      <w:r w:rsidR="00C90A22">
        <w:rPr>
          <w:sz w:val="24"/>
          <w:szCs w:val="24"/>
        </w:rPr>
        <w:t>09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</w:t>
      </w:r>
      <w:r w:rsidR="00C90A22">
        <w:rPr>
          <w:sz w:val="24"/>
          <w:szCs w:val="24"/>
        </w:rPr>
        <w:t>29</w:t>
      </w:r>
      <w:bookmarkStart w:id="1" w:name="_GoBack"/>
      <w:bookmarkEnd w:id="1"/>
      <w:r w:rsidR="00EF41C3" w:rsidRPr="00FE31F0">
        <w:rPr>
          <w:sz w:val="24"/>
          <w:szCs w:val="24"/>
        </w:rPr>
        <w:t xml:space="preserve">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C90A2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753719">
        <w:rPr>
          <w:sz w:val="24"/>
          <w:szCs w:val="24"/>
        </w:rPr>
        <w:t>Перелаз</w:t>
      </w:r>
      <w:r w:rsidR="00FE193B">
        <w:rPr>
          <w:sz w:val="24"/>
          <w:szCs w:val="24"/>
        </w:rPr>
        <w:t>ского</w:t>
      </w:r>
      <w:proofErr w:type="spellEnd"/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753719">
        <w:rPr>
          <w:sz w:val="24"/>
          <w:szCs w:val="24"/>
        </w:rPr>
        <w:t>Перелаз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proofErr w:type="spellStart"/>
      <w:r w:rsidR="00753719">
        <w:rPr>
          <w:sz w:val="24"/>
          <w:szCs w:val="24"/>
        </w:rPr>
        <w:t>Перелаз</w:t>
      </w:r>
      <w:r w:rsidR="002F57F2">
        <w:rPr>
          <w:sz w:val="24"/>
          <w:szCs w:val="24"/>
        </w:rPr>
        <w:t>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proofErr w:type="spellStart"/>
      <w:r w:rsidR="00753719">
        <w:rPr>
          <w:sz w:val="24"/>
          <w:szCs w:val="24"/>
        </w:rPr>
        <w:t>Перелаз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753719">
        <w:rPr>
          <w:sz w:val="24"/>
          <w:szCs w:val="24"/>
        </w:rPr>
        <w:t>Перелаз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753719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Перелаз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proofErr w:type="spellStart"/>
      <w:r w:rsidR="00753719">
        <w:rPr>
          <w:b/>
          <w:sz w:val="24"/>
          <w:szCs w:val="24"/>
        </w:rPr>
        <w:t>Перелаз</w:t>
      </w:r>
      <w:r w:rsidR="00A6188C">
        <w:rPr>
          <w:b/>
          <w:sz w:val="24"/>
          <w:szCs w:val="24"/>
        </w:rPr>
        <w:t>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28EC"/>
    <w:rsid w:val="00094954"/>
    <w:rsid w:val="000A710D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2A86"/>
    <w:rsid w:val="00224279"/>
    <w:rsid w:val="002421FE"/>
    <w:rsid w:val="00261990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6411C"/>
    <w:rsid w:val="00372447"/>
    <w:rsid w:val="003A3399"/>
    <w:rsid w:val="003D06BB"/>
    <w:rsid w:val="003D7956"/>
    <w:rsid w:val="003F27EF"/>
    <w:rsid w:val="003F2FF0"/>
    <w:rsid w:val="003F46EC"/>
    <w:rsid w:val="004328B3"/>
    <w:rsid w:val="00451A0E"/>
    <w:rsid w:val="00474A05"/>
    <w:rsid w:val="004818E2"/>
    <w:rsid w:val="00486BCD"/>
    <w:rsid w:val="004A7576"/>
    <w:rsid w:val="004B324C"/>
    <w:rsid w:val="004C6B1E"/>
    <w:rsid w:val="004D529A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53719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456F2"/>
    <w:rsid w:val="00A6188C"/>
    <w:rsid w:val="00AB0E46"/>
    <w:rsid w:val="00AB48D7"/>
    <w:rsid w:val="00AC3619"/>
    <w:rsid w:val="00AD035B"/>
    <w:rsid w:val="00AF2861"/>
    <w:rsid w:val="00B40C1E"/>
    <w:rsid w:val="00B71641"/>
    <w:rsid w:val="00BB552B"/>
    <w:rsid w:val="00BD43A5"/>
    <w:rsid w:val="00BE1E70"/>
    <w:rsid w:val="00BE7322"/>
    <w:rsid w:val="00C42BCD"/>
    <w:rsid w:val="00C57D04"/>
    <w:rsid w:val="00C66BF4"/>
    <w:rsid w:val="00C71446"/>
    <w:rsid w:val="00C90A22"/>
    <w:rsid w:val="00CC00E6"/>
    <w:rsid w:val="00CE0D23"/>
    <w:rsid w:val="00CE2231"/>
    <w:rsid w:val="00CF7489"/>
    <w:rsid w:val="00D01EBD"/>
    <w:rsid w:val="00D056E6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179B1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0ED9-86B1-41FC-9A55-24F15B0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3658</Words>
  <Characters>20851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5</cp:revision>
  <cp:lastPrinted>2020-03-31T11:46:00Z</cp:lastPrinted>
  <dcterms:created xsi:type="dcterms:W3CDTF">2020-04-02T08:54:00Z</dcterms:created>
  <dcterms:modified xsi:type="dcterms:W3CDTF">2020-04-17T07:26:00Z</dcterms:modified>
</cp:coreProperties>
</file>