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3" w:rsidRPr="00370B60" w:rsidRDefault="00C06FC3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B6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06FC3" w:rsidRPr="00370B60" w:rsidRDefault="00C06FC3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B60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C06FC3" w:rsidRPr="00370B60" w:rsidRDefault="00C06FC3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B60">
        <w:rPr>
          <w:rFonts w:ascii="Times New Roman" w:hAnsi="Times New Roman"/>
          <w:b/>
          <w:sz w:val="28"/>
          <w:szCs w:val="28"/>
        </w:rPr>
        <w:t>КРАСНОГОРСКИЙ  РАЙОН</w:t>
      </w:r>
    </w:p>
    <w:p w:rsidR="00C06FC3" w:rsidRPr="00370B60" w:rsidRDefault="00370B60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B60">
        <w:rPr>
          <w:rFonts w:ascii="Times New Roman" w:hAnsi="Times New Roman"/>
          <w:b/>
          <w:sz w:val="28"/>
          <w:szCs w:val="28"/>
        </w:rPr>
        <w:t>ПЕРЕЛАЗ</w:t>
      </w:r>
      <w:r w:rsidR="00C06FC3" w:rsidRPr="00370B60">
        <w:rPr>
          <w:rFonts w:ascii="Times New Roman" w:hAnsi="Times New Roman"/>
          <w:b/>
          <w:sz w:val="28"/>
          <w:szCs w:val="28"/>
        </w:rPr>
        <w:t>СКАЯ СЕЛЬСКАЯ  АДМИНИСТРАЦИЯ</w:t>
      </w:r>
    </w:p>
    <w:p w:rsidR="00C06FC3" w:rsidRPr="00370B60" w:rsidRDefault="00C06FC3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FC3" w:rsidRPr="00370B60" w:rsidRDefault="00C06FC3" w:rsidP="002E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0B60">
        <w:rPr>
          <w:rFonts w:ascii="Times New Roman" w:hAnsi="Times New Roman"/>
          <w:b/>
          <w:sz w:val="28"/>
          <w:szCs w:val="28"/>
        </w:rPr>
        <w:t>ПОСТАНОВЛЕНИЕ</w:t>
      </w:r>
    </w:p>
    <w:p w:rsidR="00C06FC3" w:rsidRPr="00370B60" w:rsidRDefault="00C06FC3" w:rsidP="002E581F">
      <w:pPr>
        <w:spacing w:after="0"/>
        <w:rPr>
          <w:rFonts w:ascii="Times New Roman" w:hAnsi="Times New Roman"/>
          <w:sz w:val="28"/>
          <w:szCs w:val="28"/>
        </w:rPr>
      </w:pPr>
    </w:p>
    <w:p w:rsidR="00C06FC3" w:rsidRPr="00370B60" w:rsidRDefault="00370B60" w:rsidP="002E581F">
      <w:pPr>
        <w:spacing w:after="0"/>
        <w:rPr>
          <w:rFonts w:ascii="Times New Roman" w:hAnsi="Times New Roman"/>
          <w:sz w:val="28"/>
          <w:szCs w:val="28"/>
        </w:rPr>
      </w:pPr>
      <w:r w:rsidRPr="00370B60">
        <w:rPr>
          <w:rFonts w:ascii="Times New Roman" w:hAnsi="Times New Roman"/>
          <w:sz w:val="28"/>
          <w:szCs w:val="28"/>
        </w:rPr>
        <w:t>от 14</w:t>
      </w:r>
      <w:r w:rsidR="00C06FC3" w:rsidRPr="00370B60">
        <w:rPr>
          <w:rFonts w:ascii="Times New Roman" w:hAnsi="Times New Roman"/>
          <w:sz w:val="28"/>
          <w:szCs w:val="28"/>
        </w:rPr>
        <w:t xml:space="preserve">.09.2018 года  № </w:t>
      </w:r>
      <w:r w:rsidRPr="00370B60">
        <w:rPr>
          <w:rFonts w:ascii="Times New Roman" w:hAnsi="Times New Roman"/>
          <w:sz w:val="28"/>
          <w:szCs w:val="28"/>
        </w:rPr>
        <w:t>61</w:t>
      </w:r>
    </w:p>
    <w:p w:rsidR="00C06FC3" w:rsidRPr="00370B60" w:rsidRDefault="00370B60" w:rsidP="002E581F">
      <w:pPr>
        <w:spacing w:after="0"/>
        <w:rPr>
          <w:rFonts w:ascii="Times New Roman" w:hAnsi="Times New Roman"/>
          <w:sz w:val="28"/>
          <w:szCs w:val="28"/>
        </w:rPr>
      </w:pPr>
      <w:r w:rsidRPr="00370B60">
        <w:rPr>
          <w:rFonts w:ascii="Times New Roman" w:hAnsi="Times New Roman"/>
          <w:sz w:val="28"/>
          <w:szCs w:val="28"/>
        </w:rPr>
        <w:t>с. Перелазы</w:t>
      </w:r>
    </w:p>
    <w:p w:rsidR="00C06FC3" w:rsidRPr="00370B60" w:rsidRDefault="00C06FC3" w:rsidP="002E581F">
      <w:pPr>
        <w:rPr>
          <w:sz w:val="28"/>
          <w:szCs w:val="28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О Порядке формирования, ведения, перечня муниципального имущества муниципального образования «</w:t>
      </w:r>
      <w:r w:rsidR="00370B60"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</w:t>
      </w:r>
      <w:proofErr w:type="gramEnd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  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ского сельского поселения:</w:t>
      </w: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Постановляю:</w:t>
      </w: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1. Утвердить прилагаемые: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1.1.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Порядок формирования, ведения, перечня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1.2.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поддержки субъектов малого и среднего предпринимательства (приложение 2).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1.3.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среднего предпринимательства (приложение 3).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2E581F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Глава сельской администрации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ab/>
        <w:t>С.Е.Горбачева</w:t>
      </w: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370B60" w:rsidRPr="002E581F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Приложение№1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УТВЕРЖДЕН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сельской администрации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от «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14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»</w:t>
      </w:r>
      <w:r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сентября</w:t>
      </w:r>
      <w:r w:rsidR="00E05D7B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201</w:t>
      </w:r>
      <w:r w:rsidR="00370B60" w:rsidRPr="00370B60"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г. № 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61</w:t>
      </w:r>
    </w:p>
    <w:p w:rsidR="00C06FC3" w:rsidRPr="00370B60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Порядок формирования, ведения, перечня муниципального имущества муниципального образования «</w:t>
      </w:r>
      <w:r w:rsidR="00370B60"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</w:t>
      </w:r>
      <w:proofErr w:type="gramEnd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370B60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1.1.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Настоящий Порядок определяет процедуру формирования, ведения, перечня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1.2.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Включению в Перечень подлежит только муниципальное имущество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  <w:proofErr w:type="gramEnd"/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2. Порядок формирования Перечня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ской сельской администрацией Красногорского района Брянской области.</w:t>
      </w:r>
    </w:p>
    <w:p w:rsidR="00C06FC3" w:rsidRPr="00370B60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3. Порядок ведения Перечня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3.1. Ведение Перечня включает в себя ведение информационной базы, содержащей сведения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об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1)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имуществе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2)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проведении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торгов на право заключения договоров аренды;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3)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результатах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проведения торгов;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4) заключенных договорах аренды;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5)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субъектах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3.3. Внесение сведений в информационную базу, в том числе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информационную базу, размещенную в сети Интернет осуществляется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4. Порядок обязательного официального обнародования Перечня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Перечень, а также изменения в него подлежат обязательному обнародованию на официальном сайте администрации Красногорского района (сельские поселения) в сети Интернет, в срок не позднее пяти рабочих дней со дня утверждения Перечня или внесения в него изменений.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P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УТВЕРЖДЕНЫ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Постановлением </w:t>
      </w:r>
      <w:r w:rsidR="00370B60" w:rsidRPr="00370B60">
        <w:rPr>
          <w:rFonts w:ascii="Times New Roman" w:hAnsi="Times New Roman"/>
          <w:color w:val="242424"/>
          <w:sz w:val="24"/>
          <w:szCs w:val="24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ской сельской администрации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Красногорского района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от «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14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»</w:t>
      </w:r>
      <w:r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сентября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 xml:space="preserve"> 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2018г. № 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61</w:t>
      </w:r>
    </w:p>
    <w:p w:rsidR="00C06FC3" w:rsidRPr="00370B60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муниципального образования </w:t>
      </w:r>
      <w:r w:rsidRPr="00370B60">
        <w:rPr>
          <w:rFonts w:ascii="Times New Roman" w:hAnsi="Times New Roman"/>
          <w:b/>
          <w:color w:val="242424"/>
          <w:sz w:val="28"/>
          <w:szCs w:val="28"/>
          <w:lang w:eastAsia="ru-RU"/>
        </w:rPr>
        <w:t>«</w:t>
      </w:r>
      <w:r w:rsidR="00370B60" w:rsidRPr="00370B60">
        <w:rPr>
          <w:rFonts w:ascii="Times New Roman" w:hAnsi="Times New Roman"/>
          <w:b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b/>
          <w:color w:val="242424"/>
          <w:sz w:val="28"/>
          <w:szCs w:val="28"/>
          <w:lang w:eastAsia="ru-RU"/>
        </w:rPr>
        <w:t>ское сельское поселение» Красногорского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</w:t>
      </w:r>
      <w:proofErr w:type="gramEnd"/>
      <w:r w:rsidRPr="00370B60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Имущество, включенное в перечень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370B60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2. Арендаторами имущества могут быть: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Решение о проведении торгов на право заключения договора аренды принимает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ская сельская 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Торги проводятся в соответствии с порядком, установленным Федеральным законом «О защите конкуренции».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5. Арендаторами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включенного в Перечень, не могут быть субъекты предпринимательства, организации: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являющиеся участниками соглашений о разделе продукции;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осуществляющие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имеющие задолженность по налоговым платежам в бюджеты всех уровней и во внебюджетные фонды;</w:t>
      </w:r>
      <w:proofErr w:type="gramEnd"/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имеющие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просроченную задолженность по заработной плате работников;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ском сельском поселении Красногорском районе Брянской области;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отношении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8. В целях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ской сельской администрации Красногорского района осуществлять проверки его использования не реже одного раза в год.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ской сельской администрации Красногорского района муниципальное имущество по акту приема-передачи.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12. К социально значимым, приоритетным видам деятельности относятся: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производство, переработка и (или) хранение сельскохозяйственной продукции;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овощеводство, садоводство, виноградарство;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розничная торговля, общественное питание, предоставление платных услуг.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подача субъектом предпринимательства в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скую сельскую 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14. Для получения льготы по арендной плате субъект предпринимательства, с которым заключен в установленном порядке договор аренды, обращается в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скую сельскую администрацию Красногорского района Брянской области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15.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ская сельская администрация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 принятом решении 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ская сельская 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17.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Муниципальное имущество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18. </w:t>
      </w:r>
      <w:proofErr w:type="gramStart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или в муниципальной собственности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370B60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Default="00C06FC3" w:rsidP="00370B60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20.Использование муниципального имущества муниципального образования «</w:t>
      </w:r>
      <w:r w:rsidR="00370B60"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Перелаз</w:t>
      </w: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ское сельское поселение» Красногорского района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70B60" w:rsidRPr="00370B60" w:rsidRDefault="00370B60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Приложение №3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к Постановлению сельской администрации</w:t>
      </w:r>
    </w:p>
    <w:p w:rsidR="00C06FC3" w:rsidRPr="00370B60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от «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14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»</w:t>
      </w:r>
      <w:r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сентября</w:t>
      </w:r>
      <w:r w:rsidRPr="00370B60">
        <w:rPr>
          <w:rFonts w:ascii="Times New Roman" w:hAnsi="Times New Roman"/>
          <w:color w:val="242424"/>
          <w:sz w:val="24"/>
          <w:szCs w:val="24"/>
          <w:lang w:eastAsia="ru-RU"/>
        </w:rPr>
        <w:t>2018г. № </w:t>
      </w:r>
      <w:r w:rsidR="00370B60" w:rsidRPr="00370B60">
        <w:rPr>
          <w:rFonts w:ascii="Times New Roman" w:hAnsi="Times New Roman"/>
          <w:color w:val="242424"/>
          <w:sz w:val="24"/>
          <w:szCs w:val="24"/>
          <w:u w:val="single"/>
          <w:lang w:eastAsia="ru-RU"/>
        </w:rPr>
        <w:t>61</w:t>
      </w:r>
    </w:p>
    <w:p w:rsidR="00C06FC3" w:rsidRPr="00370B60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Перечень муниципального имущества,</w:t>
      </w:r>
    </w:p>
    <w:p w:rsidR="00C06FC3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70B60">
        <w:rPr>
          <w:rFonts w:ascii="Times New Roman" w:hAnsi="Times New Roman"/>
          <w:color w:val="242424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0B60" w:rsidRPr="00370B60" w:rsidRDefault="00370B60" w:rsidP="00D12F57">
      <w:pPr>
        <w:spacing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370B60"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0" w:type="auto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 внесении в Перечень</w:t>
            </w:r>
          </w:p>
        </w:tc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370B60">
        <w:tc>
          <w:tcPr>
            <w:tcW w:w="0" w:type="auto"/>
            <w:vMerge/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370B60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370B60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65DC6"/>
    <w:rsid w:val="0007231E"/>
    <w:rsid w:val="000B3A49"/>
    <w:rsid w:val="000E609B"/>
    <w:rsid w:val="00107583"/>
    <w:rsid w:val="00110454"/>
    <w:rsid w:val="001439D0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70B60"/>
    <w:rsid w:val="0038474A"/>
    <w:rsid w:val="003B4A61"/>
    <w:rsid w:val="004B1D03"/>
    <w:rsid w:val="00560844"/>
    <w:rsid w:val="005A300C"/>
    <w:rsid w:val="005D5320"/>
    <w:rsid w:val="006D2227"/>
    <w:rsid w:val="007C4A85"/>
    <w:rsid w:val="00831B77"/>
    <w:rsid w:val="008A3511"/>
    <w:rsid w:val="008F082D"/>
    <w:rsid w:val="0093083B"/>
    <w:rsid w:val="00942707"/>
    <w:rsid w:val="00961948"/>
    <w:rsid w:val="00A25A62"/>
    <w:rsid w:val="00A42373"/>
    <w:rsid w:val="00A8123C"/>
    <w:rsid w:val="00B24C01"/>
    <w:rsid w:val="00B917F0"/>
    <w:rsid w:val="00BA1E8D"/>
    <w:rsid w:val="00C06FC3"/>
    <w:rsid w:val="00C10100"/>
    <w:rsid w:val="00D0189E"/>
    <w:rsid w:val="00D12F57"/>
    <w:rsid w:val="00E05D7B"/>
    <w:rsid w:val="00E10E10"/>
    <w:rsid w:val="00E329E7"/>
    <w:rsid w:val="00E9241F"/>
    <w:rsid w:val="00EB5A40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3059</Words>
  <Characters>17440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</cp:lastModifiedBy>
  <cp:revision>8</cp:revision>
  <dcterms:created xsi:type="dcterms:W3CDTF">2018-09-03T09:37:00Z</dcterms:created>
  <dcterms:modified xsi:type="dcterms:W3CDTF">2019-02-01T06:41:00Z</dcterms:modified>
</cp:coreProperties>
</file>